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7F7" w:rsidRPr="00BE1A10" w:rsidRDefault="007F27F7" w:rsidP="007F27F7">
      <w:pPr>
        <w:spacing w:after="240" w:line="360" w:lineRule="auto"/>
        <w:jc w:val="center"/>
        <w:rPr>
          <w:rFonts w:ascii="Times New Roman" w:eastAsia="Calibri" w:hAnsi="Times New Roman" w:cs="Times New Roman"/>
          <w:sz w:val="24"/>
          <w:szCs w:val="24"/>
        </w:rPr>
      </w:pPr>
      <w:r w:rsidRPr="00BE1A10">
        <w:rPr>
          <w:rFonts w:ascii="Times New Roman" w:eastAsia="Calibri" w:hAnsi="Times New Roman" w:cs="Times New Roman"/>
          <w:sz w:val="24"/>
          <w:szCs w:val="24"/>
        </w:rPr>
        <w:t>Determining the Optimal Settlement locating of Ancient Sites Using TOPSIS Multi-criteria Decision Model: A Case Study: Establishments in Mountainous Areas of North Khorasan, Northeast Iran</w:t>
      </w:r>
    </w:p>
    <w:p w:rsidR="00C21457" w:rsidRDefault="00C21457" w:rsidP="00C21457">
      <w:pPr>
        <w:jc w:val="center"/>
        <w:rPr>
          <w:rFonts w:asciiTheme="majorBidi" w:hAnsiTheme="majorBidi" w:cstheme="majorBidi"/>
          <w:sz w:val="28"/>
          <w:szCs w:val="28"/>
        </w:rPr>
      </w:pPr>
      <w:r>
        <w:rPr>
          <w:rFonts w:asciiTheme="majorBidi" w:hAnsiTheme="majorBidi" w:cstheme="majorBidi"/>
          <w:sz w:val="28"/>
          <w:szCs w:val="28"/>
        </w:rPr>
        <w:t xml:space="preserve">Mohsen </w:t>
      </w:r>
      <w:proofErr w:type="spellStart"/>
      <w:r>
        <w:rPr>
          <w:rFonts w:asciiTheme="majorBidi" w:hAnsiTheme="majorBidi" w:cstheme="majorBidi"/>
          <w:sz w:val="28"/>
          <w:szCs w:val="28"/>
        </w:rPr>
        <w:t>Heydari</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Dastenaei</w:t>
      </w:r>
      <w:proofErr w:type="spellEnd"/>
    </w:p>
    <w:p w:rsidR="00C21457" w:rsidRDefault="00C21457" w:rsidP="00C21457">
      <w:pPr>
        <w:ind w:left="567"/>
        <w:jc w:val="center"/>
        <w:rPr>
          <w:rFonts w:asciiTheme="majorBidi" w:hAnsiTheme="majorBidi" w:cstheme="majorBidi"/>
          <w:sz w:val="24"/>
          <w:szCs w:val="24"/>
          <w:rtl/>
        </w:rPr>
      </w:pPr>
      <w:r w:rsidRPr="006706A3">
        <w:rPr>
          <w:rFonts w:asciiTheme="majorBidi" w:hAnsiTheme="majorBidi" w:cstheme="majorBidi"/>
          <w:sz w:val="24"/>
          <w:szCs w:val="24"/>
        </w:rPr>
        <w:t xml:space="preserve">Department of Archeology, Faculty of Archeology, </w:t>
      </w:r>
      <w:proofErr w:type="spellStart"/>
      <w:r w:rsidRPr="006706A3">
        <w:rPr>
          <w:rFonts w:asciiTheme="majorBidi" w:hAnsiTheme="majorBidi" w:cstheme="majorBidi"/>
          <w:sz w:val="24"/>
          <w:szCs w:val="24"/>
        </w:rPr>
        <w:t>Shahid</w:t>
      </w:r>
      <w:proofErr w:type="spellEnd"/>
      <w:r w:rsidRPr="006706A3">
        <w:rPr>
          <w:rFonts w:asciiTheme="majorBidi" w:hAnsiTheme="majorBidi" w:cstheme="majorBidi"/>
          <w:sz w:val="24"/>
          <w:szCs w:val="24"/>
        </w:rPr>
        <w:t xml:space="preserve"> </w:t>
      </w:r>
      <w:proofErr w:type="spellStart"/>
      <w:r w:rsidRPr="006706A3">
        <w:rPr>
          <w:rFonts w:asciiTheme="majorBidi" w:hAnsiTheme="majorBidi" w:cstheme="majorBidi"/>
          <w:sz w:val="24"/>
          <w:szCs w:val="24"/>
        </w:rPr>
        <w:t>Chamran</w:t>
      </w:r>
      <w:proofErr w:type="spellEnd"/>
      <w:r w:rsidRPr="006706A3">
        <w:rPr>
          <w:rFonts w:asciiTheme="majorBidi" w:hAnsiTheme="majorBidi" w:cstheme="majorBidi"/>
          <w:sz w:val="24"/>
          <w:szCs w:val="24"/>
        </w:rPr>
        <w:t xml:space="preserve"> University of Ahvaz, Ahvaz,</w:t>
      </w:r>
      <w:r>
        <w:rPr>
          <w:rFonts w:asciiTheme="majorBidi" w:hAnsiTheme="majorBidi" w:cstheme="majorBidi" w:hint="cs"/>
          <w:sz w:val="24"/>
          <w:szCs w:val="24"/>
          <w:rtl/>
        </w:rPr>
        <w:t xml:space="preserve"> </w:t>
      </w:r>
      <w:r w:rsidRPr="006706A3">
        <w:rPr>
          <w:rFonts w:asciiTheme="majorBidi" w:hAnsiTheme="majorBidi" w:cstheme="majorBidi"/>
          <w:sz w:val="24"/>
          <w:szCs w:val="24"/>
        </w:rPr>
        <w:t>Iran.</w:t>
      </w:r>
    </w:p>
    <w:p w:rsidR="00C21457" w:rsidRDefault="00C21457" w:rsidP="00C21457">
      <w:pPr>
        <w:ind w:left="567"/>
        <w:jc w:val="center"/>
        <w:rPr>
          <w:rFonts w:asciiTheme="majorBidi" w:hAnsiTheme="majorBidi" w:cstheme="majorBidi"/>
          <w:sz w:val="24"/>
          <w:szCs w:val="24"/>
        </w:rPr>
      </w:pPr>
      <w:hyperlink r:id="rId4" w:history="1">
        <w:r w:rsidRPr="00D5279B">
          <w:rPr>
            <w:rStyle w:val="Hyperlink"/>
            <w:rFonts w:asciiTheme="majorBidi" w:hAnsiTheme="majorBidi" w:cstheme="majorBidi"/>
            <w:sz w:val="24"/>
            <w:szCs w:val="24"/>
          </w:rPr>
          <w:t>M.Heydari@scu.ac.ir</w:t>
        </w:r>
      </w:hyperlink>
    </w:p>
    <w:p w:rsidR="00C21457" w:rsidRDefault="00C21457" w:rsidP="007F27F7">
      <w:pPr>
        <w:jc w:val="both"/>
        <w:rPr>
          <w:rFonts w:asciiTheme="majorBidi" w:hAnsiTheme="majorBidi" w:cstheme="majorBidi"/>
          <w:sz w:val="28"/>
          <w:szCs w:val="28"/>
        </w:rPr>
      </w:pPr>
    </w:p>
    <w:p w:rsidR="007F27F7" w:rsidRDefault="007F27F7" w:rsidP="00C21457">
      <w:pPr>
        <w:jc w:val="center"/>
        <w:rPr>
          <w:rFonts w:asciiTheme="majorBidi" w:hAnsiTheme="majorBidi" w:cstheme="majorBidi"/>
          <w:sz w:val="28"/>
          <w:szCs w:val="28"/>
        </w:rPr>
      </w:pPr>
      <w:r>
        <w:rPr>
          <w:rFonts w:asciiTheme="majorBidi" w:hAnsiTheme="majorBidi" w:cstheme="majorBidi"/>
          <w:sz w:val="28"/>
          <w:szCs w:val="28"/>
        </w:rPr>
        <w:t>Mohsen Dana</w:t>
      </w:r>
    </w:p>
    <w:p w:rsidR="00C21457" w:rsidRDefault="00C21457" w:rsidP="00C21457">
      <w:pPr>
        <w:jc w:val="center"/>
        <w:rPr>
          <w:rFonts w:asciiTheme="majorBidi" w:hAnsiTheme="majorBidi" w:cstheme="majorBidi"/>
          <w:sz w:val="24"/>
          <w:szCs w:val="24"/>
        </w:rPr>
      </w:pPr>
      <w:r w:rsidRPr="00F00786">
        <w:rPr>
          <w:rFonts w:asciiTheme="majorBidi" w:hAnsiTheme="majorBidi" w:cstheme="majorBidi"/>
          <w:sz w:val="24"/>
          <w:szCs w:val="24"/>
        </w:rPr>
        <w:t xml:space="preserve">Ministry of </w:t>
      </w:r>
      <w:bookmarkStart w:id="0" w:name="_GoBack"/>
      <w:r w:rsidRPr="00F00786">
        <w:rPr>
          <w:rFonts w:asciiTheme="majorBidi" w:hAnsiTheme="majorBidi" w:cstheme="majorBidi"/>
          <w:sz w:val="24"/>
          <w:szCs w:val="24"/>
        </w:rPr>
        <w:t>Cultural Heritage</w:t>
      </w:r>
      <w:r w:rsidRPr="00A458C6">
        <w:rPr>
          <w:rFonts w:asciiTheme="majorBidi" w:hAnsiTheme="majorBidi" w:cstheme="majorBidi"/>
          <w:sz w:val="24"/>
          <w:szCs w:val="24"/>
        </w:rPr>
        <w:t>, Handicrafts and Tourism, Tehran, Iran (RICHT).</w:t>
      </w:r>
    </w:p>
    <w:p w:rsidR="00C21457" w:rsidRPr="007F27F7" w:rsidRDefault="00C21457" w:rsidP="00C21457">
      <w:pPr>
        <w:jc w:val="center"/>
        <w:rPr>
          <w:rFonts w:asciiTheme="majorBidi" w:hAnsiTheme="majorBidi" w:cstheme="majorBidi"/>
          <w:sz w:val="28"/>
          <w:szCs w:val="28"/>
        </w:rPr>
      </w:pPr>
      <w:hyperlink r:id="rId5" w:history="1">
        <w:r w:rsidRPr="00D5279B">
          <w:rPr>
            <w:rStyle w:val="Hyperlink"/>
            <w:rFonts w:asciiTheme="majorBidi" w:hAnsiTheme="majorBidi" w:cstheme="majorBidi"/>
            <w:sz w:val="24"/>
            <w:szCs w:val="24"/>
          </w:rPr>
          <w:t>mohsendana@gmail.com</w:t>
        </w:r>
      </w:hyperlink>
      <w:bookmarkEnd w:id="0"/>
    </w:p>
    <w:p w:rsidR="007F27F7" w:rsidRDefault="007F27F7" w:rsidP="007F27F7">
      <w:pPr>
        <w:jc w:val="both"/>
        <w:rPr>
          <w:rFonts w:asciiTheme="majorBidi" w:hAnsiTheme="majorBidi" w:cstheme="majorBidi"/>
          <w:sz w:val="28"/>
          <w:szCs w:val="28"/>
        </w:rPr>
      </w:pPr>
      <w:r w:rsidRPr="007F27F7">
        <w:rPr>
          <w:rFonts w:asciiTheme="majorBidi" w:hAnsiTheme="majorBidi" w:cstheme="majorBidi"/>
          <w:sz w:val="28"/>
          <w:szCs w:val="28"/>
        </w:rPr>
        <w:t xml:space="preserve">Ancient settlements, as an interconnected system, are composed of interconnected components and elements and formed by interacting environmental forces and factors Archeological sites provide a unique source for understanding human-environment interactions and ecosystems strongly influenced by human interactions </w:t>
      </w:r>
      <w:proofErr w:type="gramStart"/>
      <w:r w:rsidRPr="007F27F7">
        <w:rPr>
          <w:rFonts w:asciiTheme="majorBidi" w:hAnsiTheme="majorBidi" w:cstheme="majorBidi"/>
          <w:sz w:val="28"/>
          <w:szCs w:val="28"/>
        </w:rPr>
        <w:t>over</w:t>
      </w:r>
      <w:proofErr w:type="gramEnd"/>
      <w:r w:rsidRPr="007F27F7">
        <w:rPr>
          <w:rFonts w:asciiTheme="majorBidi" w:hAnsiTheme="majorBidi" w:cstheme="majorBidi"/>
          <w:sz w:val="28"/>
          <w:szCs w:val="28"/>
        </w:rPr>
        <w:t xml:space="preserve"> a wide range of temporal and spatial scales; thus, both reconstruct past environmental conditions and reveal human behavior. Each region's conditions and environmental factors have a significant role in the creation and development of human settlements and the formation of units located in them. Also, these human settlements in the region's ecosystem have specific structures and functions. The environmental structure of the region has a significant role in establishing settlements in that area. The key to developing this structure is the harmonious and sustainable development of the geographical environment and human activities</w:t>
      </w:r>
      <w:r>
        <w:rPr>
          <w:rFonts w:asciiTheme="majorBidi" w:hAnsiTheme="majorBidi" w:cstheme="majorBidi"/>
          <w:sz w:val="28"/>
          <w:szCs w:val="28"/>
        </w:rPr>
        <w:t>.</w:t>
      </w:r>
      <w:r w:rsidRPr="007F27F7">
        <w:rPr>
          <w:rFonts w:asciiTheme="majorBidi" w:hAnsiTheme="majorBidi" w:cstheme="majorBidi"/>
          <w:sz w:val="28"/>
          <w:szCs w:val="28"/>
        </w:rPr>
        <w:t xml:space="preserve"> Of course, it should be noted that the spatial and local patterns of human settlements are influenced by heterogeneous landscapes and access to natural resources; which itself indicates the type of system of living with latent information about the spatial structure and their change during the time</w:t>
      </w:r>
      <w:r>
        <w:rPr>
          <w:rFonts w:asciiTheme="majorBidi" w:hAnsiTheme="majorBidi" w:cstheme="majorBidi"/>
          <w:sz w:val="28"/>
          <w:szCs w:val="28"/>
        </w:rPr>
        <w:t>.</w:t>
      </w:r>
    </w:p>
    <w:p w:rsidR="007F27F7" w:rsidRPr="007F27F7" w:rsidRDefault="007F27F7" w:rsidP="007F27F7">
      <w:pPr>
        <w:jc w:val="both"/>
        <w:rPr>
          <w:rFonts w:asciiTheme="majorBidi" w:hAnsiTheme="majorBidi" w:cstheme="majorBidi"/>
          <w:sz w:val="28"/>
          <w:szCs w:val="28"/>
        </w:rPr>
      </w:pPr>
      <w:r w:rsidRPr="007F27F7">
        <w:rPr>
          <w:rFonts w:asciiTheme="majorBidi" w:hAnsiTheme="majorBidi" w:cstheme="majorBidi"/>
          <w:sz w:val="28"/>
          <w:szCs w:val="28"/>
        </w:rPr>
        <w:t xml:space="preserve">One of Iran's watersheds is the </w:t>
      </w:r>
      <w:proofErr w:type="spellStart"/>
      <w:r w:rsidRPr="007F27F7">
        <w:rPr>
          <w:rFonts w:asciiTheme="majorBidi" w:hAnsiTheme="majorBidi" w:cstheme="majorBidi"/>
          <w:sz w:val="28"/>
          <w:szCs w:val="28"/>
        </w:rPr>
        <w:t>Atrak</w:t>
      </w:r>
      <w:proofErr w:type="spellEnd"/>
      <w:r w:rsidRPr="007F27F7">
        <w:rPr>
          <w:rFonts w:asciiTheme="majorBidi" w:hAnsiTheme="majorBidi" w:cstheme="majorBidi"/>
          <w:sz w:val="28"/>
          <w:szCs w:val="28"/>
        </w:rPr>
        <w:t xml:space="preserve"> basin, the middle part of which is mainly mountainous with small intermountain plains. This mountainous region borders Eastern </w:t>
      </w:r>
      <w:proofErr w:type="spellStart"/>
      <w:r w:rsidRPr="007F27F7">
        <w:rPr>
          <w:rFonts w:asciiTheme="majorBidi" w:hAnsiTheme="majorBidi" w:cstheme="majorBidi"/>
          <w:sz w:val="28"/>
          <w:szCs w:val="28"/>
        </w:rPr>
        <w:t>Alborz</w:t>
      </w:r>
      <w:proofErr w:type="spellEnd"/>
      <w:r w:rsidRPr="007F27F7">
        <w:rPr>
          <w:rFonts w:asciiTheme="majorBidi" w:hAnsiTheme="majorBidi" w:cstheme="majorBidi"/>
          <w:sz w:val="28"/>
          <w:szCs w:val="28"/>
        </w:rPr>
        <w:t xml:space="preserve"> and the inner regions of Khorasan. For this reason, its climate is something between the dry and cold climate of Khorasan and the humid and moderate climate of the </w:t>
      </w:r>
      <w:proofErr w:type="spellStart"/>
      <w:r w:rsidRPr="007F27F7">
        <w:rPr>
          <w:rFonts w:asciiTheme="majorBidi" w:hAnsiTheme="majorBidi" w:cstheme="majorBidi"/>
          <w:sz w:val="28"/>
          <w:szCs w:val="28"/>
        </w:rPr>
        <w:t>Gorgan</w:t>
      </w:r>
      <w:proofErr w:type="spellEnd"/>
      <w:r w:rsidRPr="007F27F7">
        <w:rPr>
          <w:rFonts w:asciiTheme="majorBidi" w:hAnsiTheme="majorBidi" w:cstheme="majorBidi"/>
          <w:sz w:val="28"/>
          <w:szCs w:val="28"/>
        </w:rPr>
        <w:t xml:space="preserve"> Plain. Here, based on the detailed study of the Iron Age sites in the middle </w:t>
      </w:r>
      <w:proofErr w:type="spellStart"/>
      <w:r w:rsidRPr="007F27F7">
        <w:rPr>
          <w:rFonts w:asciiTheme="majorBidi" w:hAnsiTheme="majorBidi" w:cstheme="majorBidi"/>
          <w:sz w:val="28"/>
          <w:szCs w:val="28"/>
        </w:rPr>
        <w:t>Atrak</w:t>
      </w:r>
      <w:proofErr w:type="spellEnd"/>
      <w:r w:rsidRPr="007F27F7">
        <w:rPr>
          <w:rFonts w:asciiTheme="majorBidi" w:hAnsiTheme="majorBidi" w:cstheme="majorBidi"/>
          <w:sz w:val="28"/>
          <w:szCs w:val="28"/>
        </w:rPr>
        <w:t xml:space="preserve"> basin, which is located in North Khorasan province </w:t>
      </w:r>
      <w:r w:rsidRPr="007F27F7">
        <w:rPr>
          <w:rFonts w:asciiTheme="majorBidi" w:hAnsiTheme="majorBidi" w:cstheme="majorBidi"/>
          <w:sz w:val="28"/>
          <w:szCs w:val="28"/>
        </w:rPr>
        <w:lastRenderedPageBreak/>
        <w:t xml:space="preserve">today, a more detailed analysis of the settlement of the Iron Age people in the region is done. Based on this, we will answer these questions relying on geographic and environmental factors and variables: Which of the Iron Age sites of the Middle </w:t>
      </w:r>
      <w:proofErr w:type="spellStart"/>
      <w:r w:rsidRPr="007F27F7">
        <w:rPr>
          <w:rFonts w:asciiTheme="majorBidi" w:hAnsiTheme="majorBidi" w:cstheme="majorBidi"/>
          <w:sz w:val="28"/>
          <w:szCs w:val="28"/>
        </w:rPr>
        <w:t>Atrak</w:t>
      </w:r>
      <w:proofErr w:type="spellEnd"/>
      <w:r w:rsidRPr="007F27F7">
        <w:rPr>
          <w:rFonts w:asciiTheme="majorBidi" w:hAnsiTheme="majorBidi" w:cstheme="majorBidi"/>
          <w:sz w:val="28"/>
          <w:szCs w:val="28"/>
        </w:rPr>
        <w:t xml:space="preserve"> Basin has been most affected by their environment? What is their hierarchy in terms of being influenced by their surrounding environment? Which one of the geographical and environmental factors had a more significant impact on locating this settlement</w:t>
      </w:r>
      <w:proofErr w:type="gramStart"/>
      <w:r w:rsidRPr="007F27F7">
        <w:rPr>
          <w:rFonts w:asciiTheme="majorBidi" w:hAnsiTheme="majorBidi" w:cstheme="majorBidi"/>
          <w:sz w:val="28"/>
          <w:szCs w:val="28"/>
        </w:rPr>
        <w:t>?</w:t>
      </w:r>
      <w:r w:rsidRPr="007F27F7">
        <w:t xml:space="preserve"> </w:t>
      </w:r>
      <w:r w:rsidRPr="007F27F7">
        <w:rPr>
          <w:rFonts w:asciiTheme="majorBidi" w:hAnsiTheme="majorBidi" w:cstheme="majorBidi"/>
          <w:sz w:val="28"/>
          <w:szCs w:val="28"/>
        </w:rPr>
        <w:t>.</w:t>
      </w:r>
      <w:proofErr w:type="gramEnd"/>
      <w:r w:rsidRPr="007F27F7">
        <w:rPr>
          <w:rFonts w:asciiTheme="majorBidi" w:hAnsiTheme="majorBidi" w:cstheme="majorBidi"/>
          <w:sz w:val="28"/>
          <w:szCs w:val="28"/>
        </w:rPr>
        <w:t xml:space="preserve"> To achieve the objectives of the research and hierarchical analysis of Iron Age sites, seven natural variables, including altitude, slope, slope direction, landing, soil type, distance to rivers, and communication routes that have been effective in establishing settlements, have been selected and by using the statistical methods in the GIS, the TOPSIS hierarchical analysis process, and Excel, and they finally been studied. In terms of statistical analysis, the distance from river, </w:t>
      </w:r>
      <w:proofErr w:type="spellStart"/>
      <w:r w:rsidRPr="007F27F7">
        <w:rPr>
          <w:rFonts w:asciiTheme="majorBidi" w:hAnsiTheme="majorBidi" w:cstheme="majorBidi"/>
          <w:sz w:val="28"/>
          <w:szCs w:val="28"/>
        </w:rPr>
        <w:t>Landuse</w:t>
      </w:r>
      <w:proofErr w:type="spellEnd"/>
      <w:r w:rsidRPr="007F27F7">
        <w:rPr>
          <w:rFonts w:asciiTheme="majorBidi" w:hAnsiTheme="majorBidi" w:cstheme="majorBidi"/>
          <w:sz w:val="28"/>
          <w:szCs w:val="28"/>
        </w:rPr>
        <w:t xml:space="preserve"> and the distance to communication routes have been assigned the most ideal values.  The slope degree, above sea level and Slope Direction have the lowest ideal value, respectively. Based on this, the IAMA60 site ranked first, the IAMA49 site ranked second, and the IAMA18 site ranked third in terms of natural indicators. In the lowest rank, IAMA25, IAMA35, and IAMA56 sites are located. In addition to these, the rest of the sites are considered relatively privileged areas.</w:t>
      </w:r>
    </w:p>
    <w:p w:rsidR="00577AC7" w:rsidRPr="007F27F7" w:rsidRDefault="007F27F7" w:rsidP="007F27F7">
      <w:pPr>
        <w:jc w:val="both"/>
        <w:rPr>
          <w:rFonts w:asciiTheme="majorBidi" w:hAnsiTheme="majorBidi" w:cstheme="majorBidi"/>
          <w:sz w:val="28"/>
          <w:szCs w:val="28"/>
        </w:rPr>
      </w:pPr>
      <w:r w:rsidRPr="007F27F7">
        <w:rPr>
          <w:rFonts w:asciiTheme="majorBidi" w:hAnsiTheme="majorBidi" w:cstheme="majorBidi"/>
          <w:sz w:val="28"/>
          <w:szCs w:val="28"/>
        </w:rPr>
        <w:t>This research has been conducted with a descriptive-analytical method. For the analysis of the distribution of the sites, the geographic information system (Arc GIS) along with the hierarchical analysis process of TOPSIS and Excel was used. By organizing the data based on their local distribution, it is possible to observe the structure of the data, understand the complex relationships of the data in extensive study units and transfer the data. The Arc GIS makes it possible to digitally prepare the physical aspects of the landscape and its physical surroundings and compute such processes as understanding spatial behaviors, choosing a location, how to use the landscape, and the like (</w:t>
      </w:r>
      <w:proofErr w:type="spellStart"/>
      <w:r w:rsidRPr="007F27F7">
        <w:rPr>
          <w:rFonts w:asciiTheme="majorBidi" w:hAnsiTheme="majorBidi" w:cstheme="majorBidi"/>
          <w:sz w:val="28"/>
          <w:szCs w:val="28"/>
        </w:rPr>
        <w:t>Aldenderfer</w:t>
      </w:r>
      <w:proofErr w:type="spellEnd"/>
      <w:r w:rsidRPr="007F27F7">
        <w:rPr>
          <w:rFonts w:asciiTheme="majorBidi" w:hAnsiTheme="majorBidi" w:cstheme="majorBidi"/>
          <w:sz w:val="28"/>
          <w:szCs w:val="28"/>
        </w:rPr>
        <w:t xml:space="preserve">, 1998). Also, seven indicators have been used to identify the affectability of ancient sites from environmental variables; including the distance of ancient sites to communication routes, altitude above sea level, </w:t>
      </w:r>
      <w:proofErr w:type="gramStart"/>
      <w:r w:rsidRPr="007F27F7">
        <w:rPr>
          <w:rFonts w:asciiTheme="majorBidi" w:hAnsiTheme="majorBidi" w:cstheme="majorBidi"/>
          <w:sz w:val="28"/>
          <w:szCs w:val="28"/>
        </w:rPr>
        <w:t>the</w:t>
      </w:r>
      <w:proofErr w:type="gramEnd"/>
      <w:r w:rsidRPr="007F27F7">
        <w:rPr>
          <w:rFonts w:asciiTheme="majorBidi" w:hAnsiTheme="majorBidi" w:cstheme="majorBidi"/>
          <w:sz w:val="28"/>
          <w:szCs w:val="28"/>
        </w:rPr>
        <w:t xml:space="preserve"> distance of ancient sites to water sources, soil type, </w:t>
      </w:r>
      <w:proofErr w:type="spellStart"/>
      <w:r w:rsidRPr="007F27F7">
        <w:rPr>
          <w:rFonts w:asciiTheme="majorBidi" w:hAnsiTheme="majorBidi" w:cstheme="majorBidi"/>
          <w:sz w:val="28"/>
          <w:szCs w:val="28"/>
        </w:rPr>
        <w:t>Landuse</w:t>
      </w:r>
      <w:proofErr w:type="spellEnd"/>
      <w:r w:rsidRPr="007F27F7">
        <w:rPr>
          <w:rFonts w:asciiTheme="majorBidi" w:hAnsiTheme="majorBidi" w:cstheme="majorBidi"/>
          <w:sz w:val="28"/>
          <w:szCs w:val="28"/>
        </w:rPr>
        <w:t>, slope direction, and slope degree.</w:t>
      </w:r>
    </w:p>
    <w:sectPr w:rsidR="00577AC7" w:rsidRPr="007F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F1D"/>
    <w:rsid w:val="00346F1D"/>
    <w:rsid w:val="00577AC7"/>
    <w:rsid w:val="007F27F7"/>
    <w:rsid w:val="00C214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A8B0D-5CDD-4C88-A3F0-252746F6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4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hsendana@gmail.com" TargetMode="External"/><Relationship Id="rId4" Type="http://schemas.openxmlformats.org/officeDocument/2006/relationships/hyperlink" Target="mailto:M.Heydari@sc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salimi</dc:creator>
  <cp:keywords/>
  <dc:description/>
  <cp:lastModifiedBy>salimi</cp:lastModifiedBy>
  <cp:revision>3</cp:revision>
  <dcterms:created xsi:type="dcterms:W3CDTF">2022-09-21T13:12:00Z</dcterms:created>
  <dcterms:modified xsi:type="dcterms:W3CDTF">2022-10-12T08:53:00Z</dcterms:modified>
</cp:coreProperties>
</file>